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B1" w:rsidRPr="00864EB1" w:rsidRDefault="00864EB1" w:rsidP="00864EB1">
      <w:pPr>
        <w:widowControl/>
        <w:spacing w:after="372" w:line="259" w:lineRule="auto"/>
        <w:jc w:val="left"/>
        <w:rPr>
          <w:rFonts w:ascii="ＭＳ 明朝" w:eastAsia="ＭＳ 明朝" w:hAnsi="ＭＳ 明朝" w:cs="ＭＳ 明朝"/>
          <w:color w:val="000000"/>
          <w:sz w:val="24"/>
        </w:rPr>
      </w:pPr>
      <w:bookmarkStart w:id="0" w:name="_GoBack"/>
      <w:bookmarkEnd w:id="0"/>
      <w:r w:rsidRPr="00864EB1">
        <w:rPr>
          <w:rFonts w:ascii="ＭＳ ゴシック" w:eastAsia="ＭＳ ゴシック" w:hAnsi="ＭＳ ゴシック" w:cs="ＭＳ ゴシック"/>
          <w:color w:val="000000"/>
          <w:sz w:val="24"/>
        </w:rPr>
        <w:t>別紙６</w:t>
      </w:r>
    </w:p>
    <w:p w:rsidR="00864EB1" w:rsidRPr="00864EB1" w:rsidRDefault="00864EB1" w:rsidP="00864EB1">
      <w:pPr>
        <w:widowControl/>
        <w:spacing w:line="26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特定工場における水質に係る汚染物質の</w:t>
      </w:r>
      <w:r w:rsidRPr="00864EB1">
        <w:rPr>
          <w:rFonts w:ascii="ＭＳ 明朝" w:eastAsia="ＭＳ 明朝" w:hAnsi="ＭＳ 明朝" w:cs="ＭＳ 明朝" w:hint="eastAsia"/>
          <w:color w:val="000000"/>
          <w:sz w:val="24"/>
        </w:rPr>
        <w:t>最大</w:t>
      </w:r>
      <w:r w:rsidRPr="00864EB1">
        <w:rPr>
          <w:rFonts w:ascii="ＭＳ 明朝" w:eastAsia="ＭＳ 明朝" w:hAnsi="ＭＳ 明朝" w:cs="ＭＳ 明朝"/>
          <w:color w:val="000000"/>
          <w:sz w:val="24"/>
        </w:rPr>
        <w:t>排出予定量</w:t>
      </w:r>
    </w:p>
    <w:tbl>
      <w:tblPr>
        <w:tblStyle w:val="TableGrid5"/>
        <w:tblW w:w="10065" w:type="dxa"/>
        <w:tblInd w:w="-9" w:type="dxa"/>
        <w:tblLayout w:type="fixed"/>
        <w:tblCellMar>
          <w:top w:w="77" w:type="dxa"/>
          <w:left w:w="74" w:type="dxa"/>
          <w:bottom w:w="72" w:type="dxa"/>
          <w:right w:w="1" w:type="dxa"/>
        </w:tblCellMar>
        <w:tblLook w:val="04A0" w:firstRow="1" w:lastRow="0" w:firstColumn="1" w:lastColumn="0" w:noHBand="0" w:noVBand="1"/>
      </w:tblPr>
      <w:tblGrid>
        <w:gridCol w:w="426"/>
        <w:gridCol w:w="1275"/>
        <w:gridCol w:w="709"/>
        <w:gridCol w:w="425"/>
        <w:gridCol w:w="1134"/>
        <w:gridCol w:w="1418"/>
        <w:gridCol w:w="850"/>
        <w:gridCol w:w="1276"/>
        <w:gridCol w:w="851"/>
        <w:gridCol w:w="874"/>
        <w:gridCol w:w="827"/>
      </w:tblGrid>
      <w:tr w:rsidR="00864EB1" w:rsidRPr="00864EB1" w:rsidTr="001505B5">
        <w:trPr>
          <w:trHeight w:val="367"/>
        </w:trPr>
        <w:tc>
          <w:tcPr>
            <w:tcW w:w="1701" w:type="dxa"/>
            <w:gridSpan w:val="2"/>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汚水等排出施設又は排水口の名称</w:t>
            </w:r>
          </w:p>
        </w:tc>
        <w:tc>
          <w:tcPr>
            <w:tcW w:w="709"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施設番号又は排水口番号</w:t>
            </w:r>
          </w:p>
        </w:tc>
        <w:tc>
          <w:tcPr>
            <w:tcW w:w="425"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8" w:line="259" w:lineRule="auto"/>
              <w:ind w:left="7"/>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排出水の量</w:t>
            </w:r>
          </w:p>
          <w:p w:rsidR="00864EB1" w:rsidRPr="00864EB1" w:rsidRDefault="00864EB1" w:rsidP="00864EB1">
            <w:pPr>
              <w:widowControl/>
              <w:spacing w:line="259" w:lineRule="auto"/>
              <w:ind w:left="58"/>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（㎥/day)</w:t>
            </w:r>
          </w:p>
        </w:tc>
        <w:tc>
          <w:tcPr>
            <w:tcW w:w="6096" w:type="dxa"/>
            <w:gridSpan w:val="6"/>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right="137"/>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汚染物質の排出予定量</w:t>
            </w:r>
          </w:p>
        </w:tc>
      </w:tr>
      <w:tr w:rsidR="00864EB1" w:rsidRPr="00864EB1" w:rsidTr="001505B5">
        <w:trPr>
          <w:trHeight w:val="447"/>
        </w:trPr>
        <w:tc>
          <w:tcPr>
            <w:tcW w:w="1701" w:type="dxa"/>
            <w:gridSpan w:val="2"/>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425" w:type="dxa"/>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418"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76"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18"/>
              </w:rPr>
              <w:t>生物化学的酸素要求量又は化学的酸素要求量として表示される有機性物質</w:t>
            </w:r>
          </w:p>
          <w:p w:rsidR="00864EB1" w:rsidRPr="00864EB1" w:rsidRDefault="00864EB1" w:rsidP="00864EB1">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18"/>
              </w:rPr>
              <w:t>（</w:t>
            </w:r>
            <w:r w:rsidRPr="00864EB1">
              <w:rPr>
                <w:rFonts w:ascii="ＭＳ ゴシック" w:eastAsia="ＭＳ ゴシック" w:hAnsi="ＭＳ ゴシック" w:cs="ＭＳ ゴシック"/>
                <w:color w:val="000000"/>
                <w:sz w:val="18"/>
              </w:rPr>
              <w:t>kg</w:t>
            </w:r>
            <w:r w:rsidRPr="00864EB1">
              <w:rPr>
                <w:rFonts w:ascii="ＭＳ 明朝" w:eastAsia="ＭＳ 明朝" w:hAnsi="ＭＳ 明朝" w:cs="ＭＳ 明朝"/>
                <w:color w:val="000000"/>
                <w:sz w:val="18"/>
              </w:rPr>
              <w:t>/day)</w:t>
            </w:r>
          </w:p>
        </w:tc>
        <w:tc>
          <w:tcPr>
            <w:tcW w:w="850"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8" w:line="259" w:lineRule="auto"/>
              <w:ind w:left="-73"/>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浮遊物質</w:t>
            </w:r>
          </w:p>
          <w:p w:rsidR="00864EB1" w:rsidRPr="00864EB1" w:rsidRDefault="00864EB1" w:rsidP="00864EB1">
            <w:pPr>
              <w:widowControl/>
              <w:spacing w:line="259" w:lineRule="auto"/>
              <w:ind w:left="-215" w:rightChars="-2" w:right="-4"/>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r w:rsidRPr="00864EB1">
              <w:rPr>
                <w:rFonts w:ascii="ＭＳ ゴシック" w:eastAsia="ＭＳ ゴシック" w:hAnsi="ＭＳ ゴシック" w:cs="ＭＳ ゴシック"/>
                <w:color w:val="000000"/>
                <w:sz w:val="20"/>
              </w:rPr>
              <w:t>kg</w:t>
            </w:r>
            <w:r w:rsidRPr="00864EB1">
              <w:rPr>
                <w:rFonts w:ascii="ＭＳ 明朝" w:eastAsia="ＭＳ 明朝" w:hAnsi="ＭＳ 明朝" w:cs="ＭＳ 明朝"/>
                <w:color w:val="000000"/>
                <w:sz w:val="20"/>
              </w:rPr>
              <w:t>/day)</w:t>
            </w:r>
          </w:p>
        </w:tc>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7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ノルマルヘキサン抽出物質</w:t>
            </w:r>
          </w:p>
          <w:p w:rsidR="00864EB1" w:rsidRPr="00864EB1" w:rsidRDefault="00864EB1" w:rsidP="00864EB1">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r w:rsidRPr="00864EB1">
              <w:rPr>
                <w:rFonts w:ascii="ＭＳ ゴシック" w:eastAsia="ＭＳ ゴシック" w:hAnsi="ＭＳ ゴシック" w:cs="ＭＳ ゴシック"/>
                <w:color w:val="000000"/>
                <w:sz w:val="20"/>
              </w:rPr>
              <w:t>kg</w:t>
            </w:r>
            <w:r w:rsidRPr="00864EB1">
              <w:rPr>
                <w:rFonts w:ascii="ＭＳ 明朝" w:eastAsia="ＭＳ 明朝" w:hAnsi="ＭＳ 明朝" w:cs="ＭＳ 明朝"/>
                <w:color w:val="000000"/>
                <w:sz w:val="20"/>
              </w:rPr>
              <w:t>/day)</w:t>
            </w:r>
          </w:p>
        </w:tc>
        <w:tc>
          <w:tcPr>
            <w:tcW w:w="2552" w:type="dxa"/>
            <w:gridSpan w:val="3"/>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 w:rightChars="57" w:right="120"/>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その他の汚染物質</w:t>
            </w:r>
          </w:p>
        </w:tc>
      </w:tr>
      <w:tr w:rsidR="00864EB1" w:rsidRPr="00864EB1" w:rsidTr="001505B5">
        <w:trPr>
          <w:trHeight w:val="399"/>
        </w:trPr>
        <w:tc>
          <w:tcPr>
            <w:tcW w:w="1701" w:type="dxa"/>
            <w:gridSpan w:val="2"/>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42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418"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50"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r>
      <w:tr w:rsidR="00864EB1" w:rsidRPr="00864EB1" w:rsidTr="001505B5">
        <w:trPr>
          <w:trHeight w:val="107"/>
        </w:trPr>
        <w:tc>
          <w:tcPr>
            <w:tcW w:w="42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right="2"/>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汚水等排出施設</w:t>
            </w: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2"/>
        </w:trPr>
        <w:tc>
          <w:tcPr>
            <w:tcW w:w="42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水</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口</w:t>
            </w: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2410" w:type="dxa"/>
            <w:gridSpan w:val="3"/>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94"/>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工　場　合　計</w:t>
            </w: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7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1"/>
        </w:trPr>
        <w:tc>
          <w:tcPr>
            <w:tcW w:w="2410" w:type="dxa"/>
            <w:gridSpan w:val="3"/>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7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bl>
    <w:p w:rsidR="00864EB1" w:rsidRPr="00864EB1" w:rsidRDefault="00864EB1" w:rsidP="00864EB1">
      <w:pPr>
        <w:widowControl/>
        <w:spacing w:after="9" w:line="266" w:lineRule="auto"/>
        <w:ind w:left="960" w:hangingChars="400" w:hanging="960"/>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水素イオンについては汚水等排出施設及び排水口の欄にその濃度を、工場合計の欄には各排水口における濃度を加重平均した濃度を記載すること。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水素イオン以外の汚染物質については、各汚水等排出施設の欄の（ ）内には汚水等排出施設から排出される排出水中の汚染物質の濃度を、各排水口の欄の（ ）内には排水口における排出水中の汚染物質の濃度を、工場合計の欄の（ ）内には排水口における排出水中の各汚染物質の濃度を加重平均した濃度を記載すること。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３　</w:t>
      </w:r>
      <w:r w:rsidRPr="00864EB1">
        <w:rPr>
          <w:rFonts w:ascii="ＭＳ 明朝" w:eastAsia="ＭＳ 明朝" w:hAnsi="ＭＳ 明朝" w:cs="ＭＳ 明朝"/>
          <w:color w:val="000000"/>
          <w:sz w:val="24"/>
        </w:rPr>
        <w:t>その他は、別紙１の備考１から３まで及び５と同様とする。この場合において、「セ－１」とあるのは、汚水等排出施設については「ス－１」と、排水口については「ハ－１」と、「面積」とあるのは「排出水の量又は汚染物質の排出予定量」と、「生産施設の面積の合計」とあるのは「工場合計」と、「全生産施設の面積の合計」とあるのは「全ての排出口の排出水の量及び汚染物質の排出予定量の合計」と読み替えるものとする。</w:t>
      </w:r>
    </w:p>
    <w:p w:rsidR="00864EB1" w:rsidRPr="00864EB1" w:rsidRDefault="00864EB1" w:rsidP="00864EB1">
      <w:pPr>
        <w:widowControl/>
        <w:spacing w:after="18"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lastRenderedPageBreak/>
        <w:t>別紙７</w:t>
      </w:r>
    </w:p>
    <w:p w:rsidR="00864EB1" w:rsidRPr="00864EB1" w:rsidRDefault="00864EB1" w:rsidP="00864EB1">
      <w:pPr>
        <w:widowControl/>
        <w:spacing w:after="18"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燃料及び原材料の使用に関する計画</w:t>
      </w:r>
    </w:p>
    <w:p w:rsidR="00864EB1" w:rsidRPr="00864EB1" w:rsidRDefault="00864EB1" w:rsidP="00864EB1">
      <w:pPr>
        <w:widowControl/>
        <w:spacing w:after="18" w:line="259" w:lineRule="auto"/>
        <w:jc w:val="center"/>
        <w:rPr>
          <w:rFonts w:ascii="ＭＳ 明朝" w:eastAsia="ＭＳ 明朝" w:hAnsi="ＭＳ 明朝" w:cs="ＭＳ 明朝"/>
          <w:color w:val="000000"/>
          <w:sz w:val="24"/>
        </w:rPr>
      </w:pPr>
    </w:p>
    <w:tbl>
      <w:tblPr>
        <w:tblStyle w:val="5"/>
        <w:tblW w:w="10206" w:type="dxa"/>
        <w:tblInd w:w="-5" w:type="dxa"/>
        <w:tblLook w:val="04A0" w:firstRow="1" w:lastRow="0" w:firstColumn="1" w:lastColumn="0" w:noHBand="0" w:noVBand="1"/>
      </w:tblPr>
      <w:tblGrid>
        <w:gridCol w:w="571"/>
        <w:gridCol w:w="566"/>
        <w:gridCol w:w="3400"/>
        <w:gridCol w:w="1559"/>
        <w:gridCol w:w="1559"/>
        <w:gridCol w:w="1276"/>
        <w:gridCol w:w="1275"/>
      </w:tblGrid>
      <w:tr w:rsidR="00864EB1" w:rsidRPr="00864EB1" w:rsidTr="001505B5">
        <w:tc>
          <w:tcPr>
            <w:tcW w:w="571" w:type="dxa"/>
            <w:vAlign w:val="center"/>
          </w:tcPr>
          <w:p w:rsidR="00864EB1" w:rsidRPr="00864EB1" w:rsidRDefault="00864EB1" w:rsidP="00864EB1">
            <w:pPr>
              <w:widowControl/>
              <w:spacing w:line="259" w:lineRule="auto"/>
              <w:ind w:leftChars="-45" w:left="-94" w:rightChars="-46" w:right="-97"/>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用途</w:t>
            </w:r>
          </w:p>
        </w:tc>
        <w:tc>
          <w:tcPr>
            <w:tcW w:w="3966" w:type="dxa"/>
            <w:gridSpan w:val="2"/>
            <w:vAlign w:val="center"/>
          </w:tcPr>
          <w:p w:rsidR="00864EB1" w:rsidRPr="00864EB1" w:rsidRDefault="00864EB1" w:rsidP="00864EB1">
            <w:pPr>
              <w:widowControl/>
              <w:spacing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種　　　　　類</w:t>
            </w:r>
          </w:p>
        </w:tc>
        <w:tc>
          <w:tcPr>
            <w:tcW w:w="1559" w:type="dxa"/>
            <w:vAlign w:val="center"/>
          </w:tcPr>
          <w:p w:rsidR="00864EB1" w:rsidRPr="00864EB1" w:rsidRDefault="00864EB1" w:rsidP="00864EB1">
            <w:pPr>
              <w:widowControl/>
              <w:spacing w:line="259" w:lineRule="auto"/>
              <w:ind w:leftChars="-47" w:left="-99" w:rightChars="-44" w:right="-92"/>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燃料原料の別</w:t>
            </w:r>
          </w:p>
        </w:tc>
        <w:tc>
          <w:tcPr>
            <w:tcW w:w="1559" w:type="dxa"/>
            <w:vAlign w:val="center"/>
          </w:tcPr>
          <w:p w:rsidR="00864EB1" w:rsidRPr="00864EB1" w:rsidRDefault="00864EB1" w:rsidP="00864EB1">
            <w:pPr>
              <w:widowControl/>
              <w:spacing w:line="259" w:lineRule="auto"/>
              <w:ind w:leftChars="-43" w:left="-90" w:rightChars="-52" w:right="-109"/>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年間総消費量</w:t>
            </w:r>
          </w:p>
        </w:tc>
        <w:tc>
          <w:tcPr>
            <w:tcW w:w="1276" w:type="dxa"/>
            <w:vAlign w:val="center"/>
          </w:tcPr>
          <w:p w:rsidR="00864EB1" w:rsidRPr="00864EB1" w:rsidRDefault="00864EB1" w:rsidP="00864EB1">
            <w:pPr>
              <w:widowControl/>
              <w:spacing w:line="259" w:lineRule="auto"/>
              <w:ind w:leftChars="-35" w:left="-73" w:rightChars="-81" w:right="-170"/>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平均いおう</w:t>
            </w:r>
          </w:p>
          <w:p w:rsidR="00864EB1" w:rsidRPr="00864EB1" w:rsidRDefault="00864EB1" w:rsidP="00864EB1">
            <w:pPr>
              <w:widowControl/>
              <w:spacing w:line="259" w:lineRule="auto"/>
              <w:ind w:leftChars="-35" w:left="-73" w:rightChars="-81" w:right="-170"/>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含有率(％)</w:t>
            </w:r>
          </w:p>
        </w:tc>
        <w:tc>
          <w:tcPr>
            <w:tcW w:w="1275" w:type="dxa"/>
            <w:vAlign w:val="center"/>
          </w:tcPr>
          <w:p w:rsidR="00864EB1" w:rsidRPr="00864EB1" w:rsidRDefault="00864EB1" w:rsidP="00864EB1">
            <w:pPr>
              <w:widowControl/>
              <w:spacing w:line="259" w:lineRule="auto"/>
              <w:ind w:leftChars="-45" w:left="-94" w:rightChars="-44" w:right="-92"/>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平均窒素</w:t>
            </w:r>
          </w:p>
          <w:p w:rsidR="00864EB1" w:rsidRPr="00864EB1" w:rsidRDefault="00864EB1" w:rsidP="00864EB1">
            <w:pPr>
              <w:widowControl/>
              <w:spacing w:line="259" w:lineRule="auto"/>
              <w:ind w:leftChars="-45" w:left="-94" w:rightChars="-44" w:right="-92"/>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含有率(％)</w:t>
            </w:r>
          </w:p>
        </w:tc>
      </w:tr>
      <w:tr w:rsidR="00864EB1" w:rsidRPr="00864EB1" w:rsidTr="001505B5">
        <w:trPr>
          <w:trHeight w:val="397"/>
        </w:trPr>
        <w:tc>
          <w:tcPr>
            <w:tcW w:w="571" w:type="dxa"/>
            <w:vMerge w:val="restart"/>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燃料・原料</w:t>
            </w: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石炭・コークス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line="259" w:lineRule="auto"/>
              <w:ind w:right="-105"/>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（10³t）</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原油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restart"/>
            <w:vAlign w:val="center"/>
          </w:tcPr>
          <w:p w:rsidR="00864EB1" w:rsidRPr="00864EB1" w:rsidRDefault="00864EB1" w:rsidP="00864EB1">
            <w:pPr>
              <w:widowControl/>
              <w:spacing w:line="259" w:lineRule="auto"/>
              <w:ind w:leftChars="-47" w:left="-99" w:rightChars="-56" w:right="-118"/>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重油</w:t>
            </w:r>
          </w:p>
        </w:tc>
        <w:tc>
          <w:tcPr>
            <w:tcW w:w="3400" w:type="dxa"/>
            <w:vAlign w:val="center"/>
          </w:tcPr>
          <w:p w:rsidR="00864EB1" w:rsidRPr="00864EB1" w:rsidRDefault="00864EB1" w:rsidP="00864EB1">
            <w:pPr>
              <w:widowControl/>
              <w:spacing w:line="259" w:lineRule="auto"/>
              <w:ind w:leftChars="-35" w:left="-73" w:rightChars="-44" w:right="-92"/>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いおう含有率2％以上</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400" w:type="dxa"/>
            <w:vAlign w:val="center"/>
          </w:tcPr>
          <w:p w:rsidR="00864EB1" w:rsidRPr="00864EB1" w:rsidRDefault="00864EB1" w:rsidP="00864EB1">
            <w:pPr>
              <w:widowControl/>
              <w:spacing w:line="259" w:lineRule="auto"/>
              <w:ind w:leftChars="-35" w:left="-73" w:rightChars="-44" w:right="-92"/>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いおう含有率1.5％～2％未満</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400" w:type="dxa"/>
            <w:vAlign w:val="center"/>
          </w:tcPr>
          <w:p w:rsidR="00864EB1" w:rsidRPr="00864EB1" w:rsidRDefault="00864EB1" w:rsidP="00864EB1">
            <w:pPr>
              <w:widowControl/>
              <w:spacing w:after="9" w:line="266" w:lineRule="auto"/>
              <w:ind w:leftChars="-35" w:left="159" w:rightChars="-44" w:right="-92" w:hanging="232"/>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いおう含有率1.0％～1.5％未満</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400" w:type="dxa"/>
            <w:vAlign w:val="center"/>
          </w:tcPr>
          <w:p w:rsidR="00864EB1" w:rsidRPr="00864EB1" w:rsidRDefault="00864EB1" w:rsidP="00864EB1">
            <w:pPr>
              <w:widowControl/>
              <w:spacing w:after="9" w:line="266" w:lineRule="auto"/>
              <w:ind w:leftChars="-35" w:left="63" w:rightChars="-44" w:right="-92" w:hanging="136"/>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いおう含有率0.5％～1.0％未満</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400" w:type="dxa"/>
            <w:vAlign w:val="center"/>
          </w:tcPr>
          <w:p w:rsidR="00864EB1" w:rsidRPr="00864EB1" w:rsidRDefault="00864EB1" w:rsidP="00864EB1">
            <w:pPr>
              <w:widowControl/>
              <w:spacing w:after="9" w:line="266" w:lineRule="auto"/>
              <w:ind w:leftChars="-35" w:left="63" w:rightChars="-44" w:right="-92" w:hanging="136"/>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いおう含有率0.5％未満</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灯軽油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ナフサ</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ＬＰＧ</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（10³t）</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都市ガス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（10⁶Ｎ㎥）</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副生ガス・オフガス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（10⁶Ｎ㎥）</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天然ガス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（10⁶Ｎ㎥）</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鉄鉱石</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（10³t）</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その他（　　）</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ind w:firstLineChars="300" w:firstLine="720"/>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　　（　　）</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ind w:firstLineChars="300" w:firstLine="720"/>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　　（　　）</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val="restart"/>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材料</w:t>
            </w:r>
          </w:p>
        </w:tc>
        <w:tc>
          <w:tcPr>
            <w:tcW w:w="3966" w:type="dxa"/>
            <w:gridSpan w:val="2"/>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Merge w:val="restart"/>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restart"/>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bl>
    <w:p w:rsidR="00864EB1" w:rsidRPr="00864EB1" w:rsidRDefault="00864EB1" w:rsidP="00864EB1">
      <w:pPr>
        <w:widowControl/>
        <w:spacing w:after="9" w:line="266"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年間総消費量の欄には、４月から翌年３月までの消費量を記載すること。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同一物質を燃料及び原料に使用する場合には、燃料と原料とに区分してそれぞれ記載すること。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３　</w:t>
      </w:r>
      <w:r w:rsidRPr="00864EB1">
        <w:rPr>
          <w:rFonts w:ascii="ＭＳ 明朝" w:eastAsia="ＭＳ 明朝" w:hAnsi="ＭＳ 明朝" w:cs="ＭＳ 明朝"/>
          <w:color w:val="000000"/>
          <w:sz w:val="24"/>
        </w:rPr>
        <w:t>その他の欄及び材料の欄には、汚染物質の発生に影響のある燃料、原料及び材料について記載すること。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４　</w:t>
      </w:r>
      <w:r w:rsidRPr="00864EB1">
        <w:rPr>
          <w:rFonts w:ascii="ＭＳ 明朝" w:eastAsia="ＭＳ 明朝" w:hAnsi="ＭＳ 明朝" w:cs="ＭＳ 明朝"/>
          <w:color w:val="000000"/>
          <w:sz w:val="24"/>
        </w:rPr>
        <w:t>その他は、別紙１の備考２及び３と同様とする。この場合において、「面積」とあるのは、「年間総消費量、平均いおう含有率及び平均窒素含有率」と、「施設」とあるのは、「燃料、原料又は材料」と読み替えるものとする。</w:t>
      </w:r>
    </w:p>
    <w:p w:rsidR="00864EB1" w:rsidRDefault="00864EB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64EB1" w:rsidRPr="00CE614B" w:rsidRDefault="00864EB1" w:rsidP="00864EB1">
      <w:pPr>
        <w:widowControl/>
        <w:spacing w:line="259" w:lineRule="auto"/>
        <w:jc w:val="left"/>
        <w:rPr>
          <w:rFonts w:asciiTheme="majorEastAsia" w:eastAsiaTheme="majorEastAsia" w:hAnsiTheme="majorEastAsia" w:cs="Calibri"/>
          <w:color w:val="000000"/>
          <w:sz w:val="22"/>
        </w:rPr>
      </w:pPr>
      <w:r w:rsidRPr="00CE614B">
        <w:rPr>
          <w:rFonts w:asciiTheme="majorEastAsia" w:eastAsiaTheme="majorEastAsia" w:hAnsiTheme="majorEastAsia" w:cs="Calibri" w:hint="eastAsia"/>
          <w:color w:val="000000"/>
          <w:sz w:val="24"/>
        </w:rPr>
        <w:lastRenderedPageBreak/>
        <w:t>別紙８</w:t>
      </w:r>
    </w:p>
    <w:p w:rsidR="00864EB1" w:rsidRPr="00864EB1" w:rsidRDefault="00864EB1" w:rsidP="00864EB1">
      <w:pPr>
        <w:widowControl/>
        <w:spacing w:after="160" w:line="259" w:lineRule="auto"/>
        <w:jc w:val="center"/>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公害防止施設の設置その他の措置</w:t>
      </w:r>
    </w:p>
    <w:tbl>
      <w:tblPr>
        <w:tblStyle w:val="6"/>
        <w:tblW w:w="10206" w:type="dxa"/>
        <w:tblInd w:w="-5" w:type="dxa"/>
        <w:tblLook w:val="04A0" w:firstRow="1" w:lastRow="0" w:firstColumn="1" w:lastColumn="0" w:noHBand="0" w:noVBand="1"/>
      </w:tblPr>
      <w:tblGrid>
        <w:gridCol w:w="1418"/>
        <w:gridCol w:w="850"/>
        <w:gridCol w:w="1560"/>
        <w:gridCol w:w="992"/>
        <w:gridCol w:w="992"/>
        <w:gridCol w:w="992"/>
        <w:gridCol w:w="1134"/>
        <w:gridCol w:w="1134"/>
        <w:gridCol w:w="1134"/>
      </w:tblGrid>
      <w:tr w:rsidR="00864EB1" w:rsidRPr="00864EB1" w:rsidTr="001505B5">
        <w:trPr>
          <w:trHeight w:val="1510"/>
        </w:trPr>
        <w:tc>
          <w:tcPr>
            <w:tcW w:w="1418" w:type="dxa"/>
            <w:vAlign w:val="center"/>
          </w:tcPr>
          <w:p w:rsidR="00864EB1" w:rsidRPr="00864EB1" w:rsidRDefault="00864EB1" w:rsidP="00864EB1">
            <w:pPr>
              <w:widowControl/>
              <w:spacing w:after="53" w:line="259" w:lineRule="auto"/>
              <w:ind w:leftChars="-50" w:left="-105" w:rightChars="-93" w:right="-195"/>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公害防止施設の名称</w:t>
            </w:r>
          </w:p>
        </w:tc>
        <w:tc>
          <w:tcPr>
            <w:tcW w:w="850" w:type="dxa"/>
            <w:vAlign w:val="center"/>
          </w:tcPr>
          <w:p w:rsidR="00864EB1" w:rsidRPr="00864EB1" w:rsidRDefault="00864EB1" w:rsidP="00864EB1">
            <w:pPr>
              <w:widowControl/>
              <w:spacing w:after="53" w:line="259" w:lineRule="auto"/>
              <w:ind w:leftChars="-50" w:left="-105" w:rightChars="-85" w:right="-178"/>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施設番号</w:t>
            </w:r>
          </w:p>
        </w:tc>
        <w:tc>
          <w:tcPr>
            <w:tcW w:w="1560" w:type="dxa"/>
            <w:vAlign w:val="center"/>
          </w:tcPr>
          <w:p w:rsidR="00864EB1" w:rsidRPr="00864EB1" w:rsidRDefault="00864EB1" w:rsidP="00864EB1">
            <w:pPr>
              <w:widowControl/>
              <w:spacing w:after="53" w:line="259" w:lineRule="auto"/>
              <w:ind w:leftChars="-14" w:left="-29" w:rightChars="-49" w:right="-103"/>
              <w:jc w:val="left"/>
              <w:rPr>
                <w:rFonts w:ascii="ＭＳ 明朝" w:eastAsia="ＭＳ 明朝" w:hAnsi="ＭＳ 明朝" w:cs="Calibri"/>
                <w:color w:val="000000"/>
                <w:sz w:val="20"/>
                <w:szCs w:val="20"/>
              </w:rPr>
            </w:pPr>
            <w:r w:rsidRPr="00864EB1">
              <w:rPr>
                <w:rFonts w:ascii="ＭＳ 明朝" w:eastAsia="ＭＳ 明朝" w:hAnsi="ＭＳ 明朝" w:cs="Calibri" w:hint="eastAsia"/>
                <w:color w:val="000000"/>
                <w:sz w:val="20"/>
                <w:szCs w:val="20"/>
              </w:rPr>
              <w:t>公害防止施設が設置されるばい煙発生施設、粉じん発生施設又は汚水等排出施設の施設番号</w:t>
            </w:r>
          </w:p>
        </w:tc>
        <w:tc>
          <w:tcPr>
            <w:tcW w:w="992" w:type="dxa"/>
            <w:vAlign w:val="center"/>
          </w:tcPr>
          <w:p w:rsidR="00864EB1" w:rsidRPr="00864EB1" w:rsidRDefault="00864EB1" w:rsidP="00864EB1">
            <w:pPr>
              <w:widowControl/>
              <w:spacing w:after="53" w:line="259" w:lineRule="auto"/>
              <w:ind w:leftChars="-17" w:left="-36" w:rightChars="-74" w:right="-155"/>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排出ガス量又は排出水の量</w:t>
            </w:r>
          </w:p>
        </w:tc>
        <w:tc>
          <w:tcPr>
            <w:tcW w:w="992" w:type="dxa"/>
            <w:vAlign w:val="center"/>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処理される汚染物質の種類</w:t>
            </w:r>
          </w:p>
        </w:tc>
        <w:tc>
          <w:tcPr>
            <w:tcW w:w="992" w:type="dxa"/>
            <w:vAlign w:val="center"/>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処理能力</w:t>
            </w:r>
          </w:p>
        </w:tc>
        <w:tc>
          <w:tcPr>
            <w:tcW w:w="1134" w:type="dxa"/>
            <w:vAlign w:val="center"/>
          </w:tcPr>
          <w:p w:rsidR="00864EB1" w:rsidRPr="00864EB1" w:rsidRDefault="00864EB1" w:rsidP="00864EB1">
            <w:pPr>
              <w:suppressAutoHyphens/>
              <w:wordWrap w:val="0"/>
              <w:ind w:leftChars="-37" w:left="-78" w:rightChars="-47" w:right="-99"/>
              <w:jc w:val="left"/>
              <w:textAlignment w:val="baseline"/>
              <w:rPr>
                <w:rFonts w:ascii="ＭＳ 明朝" w:eastAsia="ＭＳ 明朝" w:hAnsi="ＭＳ 明朝" w:cs="Calibri"/>
                <w:color w:val="000000"/>
                <w:sz w:val="22"/>
              </w:rPr>
            </w:pPr>
            <w:r w:rsidRPr="00864EB1">
              <w:rPr>
                <w:rFonts w:ascii="ＭＳ 明朝" w:eastAsia="ＭＳ 明朝" w:hAnsi="ＭＳ 明朝" w:cs="ＭＳ 明朝" w:hint="eastAsia"/>
                <w:color w:val="000000"/>
                <w:kern w:val="0"/>
                <w:sz w:val="22"/>
              </w:rPr>
              <w:t>汚染物質の処理前の排出量及び濃度（</w:t>
            </w:r>
            <w:r w:rsidRPr="00864EB1">
              <w:rPr>
                <w:rFonts w:ascii="ＭＳ 明朝" w:eastAsia="ＭＳ 明朝" w:hAnsi="ＭＳ 明朝" w:cs="ＭＳ 明朝"/>
                <w:color w:val="000000"/>
                <w:kern w:val="0"/>
                <w:sz w:val="22"/>
              </w:rPr>
              <w:t>A)</w:t>
            </w:r>
          </w:p>
        </w:tc>
        <w:tc>
          <w:tcPr>
            <w:tcW w:w="1134" w:type="dxa"/>
            <w:vAlign w:val="center"/>
          </w:tcPr>
          <w:p w:rsidR="00864EB1" w:rsidRPr="00864EB1" w:rsidRDefault="00864EB1" w:rsidP="00864EB1">
            <w:pPr>
              <w:widowControl/>
              <w:spacing w:after="53" w:line="259" w:lineRule="auto"/>
              <w:ind w:leftChars="-45" w:left="-94" w:rightChars="-50" w:right="-105"/>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汚染物質の処理後の排出量及び濃度（</w:t>
            </w:r>
            <w:r w:rsidRPr="00864EB1">
              <w:rPr>
                <w:rFonts w:ascii="ＭＳ 明朝" w:eastAsia="ＭＳ 明朝" w:hAnsi="ＭＳ 明朝" w:cs="Calibri"/>
                <w:color w:val="000000"/>
                <w:sz w:val="22"/>
              </w:rPr>
              <w:t>B)</w:t>
            </w:r>
          </w:p>
        </w:tc>
        <w:tc>
          <w:tcPr>
            <w:tcW w:w="1134" w:type="dxa"/>
            <w:vAlign w:val="center"/>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汚染物質の除去効率</w:t>
            </w:r>
          </w:p>
          <w:p w:rsidR="00864EB1" w:rsidRPr="00864EB1" w:rsidRDefault="00864EB1" w:rsidP="00864EB1">
            <w:pPr>
              <w:widowControl/>
              <w:spacing w:after="53" w:line="259" w:lineRule="auto"/>
              <w:ind w:leftChars="-49" w:left="-103" w:rightChars="-48" w:right="-101"/>
              <w:jc w:val="center"/>
              <w:rPr>
                <w:rFonts w:ascii="ＭＳ 明朝" w:eastAsia="ＭＳ 明朝" w:hAnsi="ＭＳ 明朝" w:cs="Calibri"/>
                <w:color w:val="000000"/>
                <w:sz w:val="22"/>
              </w:rPr>
            </w:pPr>
            <w:r w:rsidRPr="00864EB1">
              <w:rPr>
                <w:rFonts w:ascii="ＭＳ 明朝" w:eastAsia="ＭＳ 明朝" w:hAnsi="ＭＳ 明朝" w:cs="Calibri" w:hint="eastAsia"/>
                <w:noProof/>
                <w:color w:val="000000"/>
                <w:sz w:val="22"/>
              </w:rPr>
              <mc:AlternateContent>
                <mc:Choice Requires="wps">
                  <w:drawing>
                    <wp:anchor distT="0" distB="0" distL="114300" distR="114300" simplePos="0" relativeHeight="251671552" behindDoc="0" locked="0" layoutInCell="1" allowOverlap="1" wp14:anchorId="25710961" wp14:editId="7C819A10">
                      <wp:simplePos x="0" y="0"/>
                      <wp:positionH relativeFrom="column">
                        <wp:posOffset>29845</wp:posOffset>
                      </wp:positionH>
                      <wp:positionV relativeFrom="paragraph">
                        <wp:posOffset>205105</wp:posOffset>
                      </wp:positionV>
                      <wp:extent cx="533400" cy="0"/>
                      <wp:effectExtent l="0" t="0" r="19050" b="19050"/>
                      <wp:wrapNone/>
                      <wp:docPr id="3593" name="直線コネクタ 3593"/>
                      <wp:cNvGraphicFramePr/>
                      <a:graphic xmlns:a="http://schemas.openxmlformats.org/drawingml/2006/main">
                        <a:graphicData uri="http://schemas.microsoft.com/office/word/2010/wordprocessingShape">
                          <wps:wsp>
                            <wps:cNvCnPr/>
                            <wps:spPr>
                              <a:xfrm>
                                <a:off x="0" y="0"/>
                                <a:ext cx="533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5792D2" id="直線コネクタ 359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16.15pt" to="44.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" strokecolor="windowText" strokeweight=".5pt">
                      <v:stroke joinstyle="miter"/>
                    </v:line>
                  </w:pict>
                </mc:Fallback>
              </mc:AlternateContent>
            </w:r>
            <w:r w:rsidRPr="00864EB1">
              <w:rPr>
                <w:rFonts w:ascii="ＭＳ 明朝" w:eastAsia="ＭＳ 明朝" w:hAnsi="ＭＳ 明朝" w:cs="Calibri" w:hint="eastAsia"/>
                <w:noProof/>
                <w:color w:val="000000"/>
                <w:sz w:val="22"/>
              </w:rPr>
              <mc:AlternateContent>
                <mc:Choice Requires="wps">
                  <w:drawing>
                    <wp:anchor distT="0" distB="0" distL="114300" distR="114300" simplePos="0" relativeHeight="251670528" behindDoc="0" locked="0" layoutInCell="1" allowOverlap="1" wp14:anchorId="13005120" wp14:editId="0E34EF1A">
                      <wp:simplePos x="0" y="0"/>
                      <wp:positionH relativeFrom="column">
                        <wp:posOffset>568960</wp:posOffset>
                      </wp:positionH>
                      <wp:positionV relativeFrom="paragraph">
                        <wp:posOffset>39370</wp:posOffset>
                      </wp:positionV>
                      <wp:extent cx="45085" cy="355600"/>
                      <wp:effectExtent l="0" t="0" r="12065" b="25400"/>
                      <wp:wrapNone/>
                      <wp:docPr id="3594" name="右大かっこ 3594"/>
                      <wp:cNvGraphicFramePr/>
                      <a:graphic xmlns:a="http://schemas.openxmlformats.org/drawingml/2006/main">
                        <a:graphicData uri="http://schemas.microsoft.com/office/word/2010/wordprocessingShape">
                          <wps:wsp>
                            <wps:cNvSpPr/>
                            <wps:spPr>
                              <a:xfrm>
                                <a:off x="0" y="0"/>
                                <a:ext cx="45085" cy="35560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976D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594" o:spid="_x0000_s1026" type="#_x0000_t86" style="position:absolute;left:0;text-align:left;margin-left:44.8pt;margin-top:3.1pt;width:3.55pt;height: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" adj="228" strokecolor="windowText" strokeweight=".5pt">
                      <v:stroke joinstyle="miter"/>
                    </v:shape>
                  </w:pict>
                </mc:Fallback>
              </mc:AlternateContent>
            </w:r>
            <w:r w:rsidRPr="00864EB1">
              <w:rPr>
                <w:rFonts w:ascii="ＭＳ 明朝" w:eastAsia="ＭＳ 明朝" w:hAnsi="ＭＳ 明朝" w:cs="Calibri" w:hint="eastAsia"/>
                <w:noProof/>
                <w:color w:val="000000"/>
                <w:sz w:val="22"/>
              </w:rPr>
              <mc:AlternateContent>
                <mc:Choice Requires="wps">
                  <w:drawing>
                    <wp:anchor distT="0" distB="0" distL="114300" distR="114300" simplePos="0" relativeHeight="251669504" behindDoc="0" locked="0" layoutInCell="1" allowOverlap="1" wp14:anchorId="1FC56DF2" wp14:editId="7417AAE9">
                      <wp:simplePos x="0" y="0"/>
                      <wp:positionH relativeFrom="column">
                        <wp:posOffset>-21590</wp:posOffset>
                      </wp:positionH>
                      <wp:positionV relativeFrom="paragraph">
                        <wp:posOffset>50800</wp:posOffset>
                      </wp:positionV>
                      <wp:extent cx="45085" cy="336550"/>
                      <wp:effectExtent l="0" t="0" r="12065" b="25400"/>
                      <wp:wrapNone/>
                      <wp:docPr id="3595" name="左大かっこ 3595"/>
                      <wp:cNvGraphicFramePr/>
                      <a:graphic xmlns:a="http://schemas.openxmlformats.org/drawingml/2006/main">
                        <a:graphicData uri="http://schemas.microsoft.com/office/word/2010/wordprocessingShape">
                          <wps:wsp>
                            <wps:cNvSpPr/>
                            <wps:spPr>
                              <a:xfrm>
                                <a:off x="0" y="0"/>
                                <a:ext cx="45085" cy="33655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0D27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595" o:spid="_x0000_s1026" type="#_x0000_t85" style="position:absolute;left:0;text-align:left;margin-left:-1.7pt;margin-top:4pt;width:3.55pt;height: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" adj="241" strokecolor="windowText" strokeweight=".5pt">
                      <v:stroke joinstyle="miter"/>
                    </v:shape>
                  </w:pict>
                </mc:Fallback>
              </mc:AlternateContent>
            </w:r>
            <w:r w:rsidRPr="00864EB1">
              <w:rPr>
                <w:rFonts w:ascii="ＭＳ 明朝" w:eastAsia="ＭＳ 明朝" w:hAnsi="ＭＳ 明朝" w:cs="Calibri" w:hint="eastAsia"/>
                <w:color w:val="000000"/>
                <w:sz w:val="22"/>
              </w:rPr>
              <w:t>Ａ－Ｂ</w:t>
            </w:r>
          </w:p>
          <w:p w:rsidR="00864EB1" w:rsidRPr="00864EB1" w:rsidRDefault="00864EB1" w:rsidP="00864EB1">
            <w:pPr>
              <w:widowControl/>
              <w:spacing w:after="53" w:line="259" w:lineRule="auto"/>
              <w:ind w:leftChars="-49" w:left="-103" w:rightChars="-48" w:right="-101"/>
              <w:jc w:val="center"/>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Ａ</w:t>
            </w: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rPr>
          <w:trHeight w:val="631"/>
        </w:trPr>
        <w:tc>
          <w:tcPr>
            <w:tcW w:w="1418" w:type="dxa"/>
            <w:vAlign w:val="center"/>
          </w:tcPr>
          <w:p w:rsidR="00864EB1" w:rsidRPr="00864EB1" w:rsidRDefault="00864EB1" w:rsidP="00864EB1">
            <w:pPr>
              <w:widowControl/>
              <w:spacing w:after="53" w:line="259" w:lineRule="auto"/>
              <w:ind w:leftChars="-50" w:left="-105" w:rightChars="-49" w:right="-103"/>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その他の措置</w:t>
            </w:r>
          </w:p>
        </w:tc>
        <w:tc>
          <w:tcPr>
            <w:tcW w:w="8788" w:type="dxa"/>
            <w:gridSpan w:val="8"/>
            <w:vAlign w:val="center"/>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bl>
    <w:p w:rsidR="00864EB1" w:rsidRPr="00864EB1" w:rsidRDefault="00864EB1" w:rsidP="00864EB1">
      <w:pPr>
        <w:widowControl/>
        <w:spacing w:after="9" w:line="266" w:lineRule="auto"/>
        <w:jc w:val="left"/>
        <w:rPr>
          <w:rFonts w:ascii="ＭＳ 明朝" w:eastAsia="ＭＳ 明朝" w:hAnsi="ＭＳ 明朝" w:cs="Calibri"/>
          <w:color w:val="000000"/>
          <w:sz w:val="22"/>
        </w:rPr>
      </w:pPr>
    </w:p>
    <w:p w:rsidR="00864EB1" w:rsidRPr="00864EB1" w:rsidRDefault="00864EB1" w:rsidP="00864EB1">
      <w:pPr>
        <w:widowControl/>
        <w:spacing w:after="9" w:line="266" w:lineRule="auto"/>
        <w:ind w:left="960" w:hangingChars="400" w:hanging="960"/>
        <w:jc w:val="left"/>
        <w:rPr>
          <w:rFonts w:ascii="ＭＳ 明朝" w:eastAsia="ＭＳ 明朝" w:hAnsi="ＭＳ 明朝" w:cs="Calibri"/>
          <w:color w:val="000000"/>
          <w:sz w:val="22"/>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 xml:space="preserve">公害防止施設の名称の欄の（ </w:t>
      </w:r>
      <w:r>
        <w:rPr>
          <w:rFonts w:ascii="ＭＳ 明朝" w:eastAsia="ＭＳ 明朝" w:hAnsi="ＭＳ 明朝" w:cs="ＭＳ 明朝"/>
          <w:color w:val="000000"/>
          <w:sz w:val="24"/>
        </w:rPr>
        <w:t>）には、処理の方式を記載すること。（煙突にあ</w:t>
      </w:r>
      <w:r>
        <w:rPr>
          <w:rFonts w:ascii="ＭＳ 明朝" w:eastAsia="ＭＳ 明朝" w:hAnsi="ＭＳ 明朝" w:cs="ＭＳ 明朝" w:hint="eastAsia"/>
          <w:color w:val="000000"/>
          <w:sz w:val="24"/>
        </w:rPr>
        <w:t>って</w:t>
      </w:r>
      <w:r w:rsidRPr="00864EB1">
        <w:rPr>
          <w:rFonts w:ascii="ＭＳ 明朝" w:eastAsia="ＭＳ 明朝" w:hAnsi="ＭＳ 明朝" w:cs="ＭＳ 明朝"/>
          <w:color w:val="000000"/>
          <w:sz w:val="24"/>
        </w:rPr>
        <w:t>は、（ ）には、高さを記載すること。）</w:t>
      </w:r>
    </w:p>
    <w:p w:rsidR="00864EB1" w:rsidRPr="00864EB1" w:rsidRDefault="00864EB1" w:rsidP="00864EB1">
      <w:pPr>
        <w:widowControl/>
        <w:spacing w:after="9" w:line="266" w:lineRule="auto"/>
        <w:ind w:leftChars="320" w:left="912" w:hangingChars="100" w:hanging="240"/>
        <w:jc w:val="left"/>
        <w:rPr>
          <w:rFonts w:ascii="ＭＳ 明朝" w:eastAsia="ＭＳ 明朝" w:hAnsi="ＭＳ 明朝" w:cs="Calibri"/>
          <w:color w:val="000000"/>
          <w:sz w:val="22"/>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その他は、別紙の備考１から３までと同様とする。この場合において、「セ－１」</w:t>
      </w:r>
      <w:r w:rsidRPr="00864EB1">
        <w:rPr>
          <w:rFonts w:ascii="ＭＳ 明朝" w:eastAsia="ＭＳ 明朝" w:hAnsi="ＭＳ 明朝" w:cs="ＭＳ 明朝" w:hint="eastAsia"/>
          <w:color w:val="000000"/>
          <w:sz w:val="24"/>
        </w:rPr>
        <w:t xml:space="preserve">　</w:t>
      </w:r>
      <w:r w:rsidRPr="00864EB1">
        <w:rPr>
          <w:rFonts w:ascii="ＭＳ 明朝" w:eastAsia="ＭＳ 明朝" w:hAnsi="ＭＳ 明朝" w:cs="ＭＳ 明朝"/>
          <w:color w:val="000000"/>
          <w:sz w:val="24"/>
        </w:rPr>
        <w:t>とあるのは「コ－１」と、「面積」とあるのは「処理能力」と読み替えるものとする。</w:t>
      </w:r>
    </w:p>
    <w:p w:rsidR="00482008" w:rsidRPr="00864EB1" w:rsidRDefault="00482008" w:rsidP="0080263F">
      <w:pPr>
        <w:widowControl/>
        <w:jc w:val="left"/>
        <w:rPr>
          <w:rFonts w:ascii="ＭＳ Ｐゴシック" w:eastAsia="ＭＳ Ｐゴシック" w:hAnsi="ＭＳ Ｐゴシック"/>
          <w:sz w:val="24"/>
          <w:szCs w:val="24"/>
        </w:rPr>
      </w:pPr>
    </w:p>
    <w:sectPr w:rsidR="00482008" w:rsidRPr="00864EB1"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042AC8"/>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8668C"/>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BD3DE-77BA-4AF0-AC44-352C8C3E7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345</Words>
  <Characters>1970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Administrator</cp:lastModifiedBy>
  <cp:revision>2</cp:revision>
  <cp:lastPrinted>2018-03-29T06:16:00Z</cp:lastPrinted>
  <dcterms:created xsi:type="dcterms:W3CDTF">2021-01-06T01:45:00Z</dcterms:created>
  <dcterms:modified xsi:type="dcterms:W3CDTF">2021-01-06T01:45:00Z</dcterms:modified>
</cp:coreProperties>
</file>